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/>
        <w:jc w:val="center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Информация о проведенном контрольном мероприятии</w:t>
      </w:r>
      <w:r>
        <w:rPr>
          <w:rFonts w:ascii="Times New Roman" w:hAnsi="Times New Roman"/>
          <w:b/>
          <w:sz w:val="24"/>
          <w:szCs w:val="24"/>
          <w:u w:val="single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iCs/>
          <w:spacing w:val="-2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«Проведение аудита в сфере закупок при осуществлении финансово-хозяйственной деятельности в 2022 году </w:t>
      </w:r>
      <w:r>
        <w:rPr>
          <w:rFonts w:ascii="Times New Roman" w:hAnsi="Times New Roman"/>
          <w:b/>
          <w:iCs/>
          <w:spacing w:val="-2"/>
          <w:sz w:val="24"/>
          <w:szCs w:val="24"/>
          <w:u w:val="single"/>
        </w:rPr>
        <w:t xml:space="preserve">Муниципальным бюджетным общеобразовательным учреждением Новосибирского района</w:t>
      </w:r>
      <w:r>
        <w:rPr>
          <w:rFonts w:ascii="Times New Roman" w:hAnsi="Times New Roman"/>
          <w:b/>
          <w:iCs/>
          <w:spacing w:val="-2"/>
          <w:sz w:val="24"/>
          <w:szCs w:val="24"/>
          <w:u w:val="single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iCs/>
          <w:spacing w:val="-2"/>
          <w:sz w:val="24"/>
          <w:szCs w:val="24"/>
          <w:u w:val="single"/>
        </w:rPr>
        <w:t xml:space="preserve">Новосибирской области - Барышевской средней школой № 9»</w:t>
      </w:r>
      <w:r>
        <w:rPr>
          <w:rFonts w:ascii="Times New Roman" w:hAnsi="Times New Roman"/>
          <w:b/>
          <w:sz w:val="24"/>
          <w:szCs w:val="24"/>
          <w:u w:val="single"/>
        </w:rPr>
      </w:r>
    </w:p>
    <w:p>
      <w:pPr>
        <w:contextualSpacing/>
        <w:ind w:firstLine="0"/>
        <w:jc w:val="left"/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</w:r>
      <w:r>
        <w:rPr>
          <w:rFonts w:ascii="Times New Roman" w:hAnsi="Times New Roman"/>
          <w:b/>
          <w:bCs/>
          <w:sz w:val="24"/>
          <w:szCs w:val="24"/>
          <w:u w:val="single"/>
        </w:rPr>
      </w:r>
    </w:p>
    <w:p>
      <w:pPr>
        <w:contextualSpacing/>
        <w:ind w:firstLine="708"/>
        <w:jc w:val="both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Основание для проведения контрольного </w:t>
      </w:r>
      <w:r>
        <w:rPr>
          <w:rFonts w:ascii="Times New Roman" w:hAnsi="Times New Roman"/>
          <w:sz w:val="24"/>
          <w:szCs w:val="24"/>
        </w:rPr>
        <w:t xml:space="preserve">мероприятия: </w:t>
      </w:r>
      <w:r>
        <w:rPr>
          <w:rFonts w:ascii="Times New Roman" w:hAnsi="Times New Roman"/>
          <w:sz w:val="24"/>
          <w:szCs w:val="24"/>
        </w:rPr>
        <w:t xml:space="preserve">пункт 2.3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плана работы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Контрольно-счетной палаты Новосибирского района Новосибирской области на 2023 год, распоряжения Председателя КСП НР от 13.11.2023 г. № 74-ОД.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Цель контрольного мероприятия: </w:t>
      </w:r>
      <w:r>
        <w:rPr>
          <w:rFonts w:ascii="Times New Roman" w:hAnsi="Times New Roman"/>
          <w:sz w:val="24"/>
          <w:szCs w:val="24"/>
        </w:rPr>
        <w:t xml:space="preserve">выявить и предупредить нарушения при осуществлении закупочной деятельности.</w:t>
      </w:r>
      <w:r>
        <w:rPr>
          <w:rFonts w:ascii="Times New Roman" w:hAnsi="Times New Roman"/>
          <w:sz w:val="24"/>
          <w:szCs w:val="24"/>
        </w:rPr>
      </w:r>
    </w:p>
    <w:p>
      <w:pPr>
        <w:ind w:firstLine="708"/>
        <w:jc w:val="both"/>
        <w:spacing w:after="0" w:line="240" w:lineRule="auto"/>
        <w:widowControl w:val="off"/>
        <w:rPr>
          <w:rFonts w:ascii="Times New Roman" w:hAnsi="Times New Roman"/>
          <w:iCs/>
          <w:spacing w:val="-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результатам </w:t>
      </w:r>
      <w:r>
        <w:rPr>
          <w:rFonts w:ascii="Times New Roman" w:hAnsi="Times New Roman"/>
          <w:sz w:val="24"/>
          <w:szCs w:val="24"/>
        </w:rPr>
        <w:t xml:space="preserve">контрольного ме</w:t>
      </w:r>
      <w:r>
        <w:rPr>
          <w:rFonts w:ascii="Times New Roman" w:hAnsi="Times New Roman"/>
          <w:sz w:val="24"/>
          <w:szCs w:val="24"/>
        </w:rPr>
        <w:t xml:space="preserve">роприятия </w:t>
      </w:r>
      <w:r>
        <w:rPr>
          <w:rFonts w:ascii="Times New Roman" w:hAnsi="Times New Roman"/>
          <w:sz w:val="24"/>
          <w:szCs w:val="24"/>
        </w:rPr>
        <w:t xml:space="preserve">в отношен</w:t>
      </w:r>
      <w:r>
        <w:rPr>
          <w:rFonts w:ascii="Times New Roman" w:hAnsi="Times New Roman"/>
          <w:sz w:val="24"/>
          <w:szCs w:val="24"/>
        </w:rPr>
        <w:t xml:space="preserve">ии </w:t>
      </w:r>
      <w:r>
        <w:rPr>
          <w:rFonts w:ascii="Times New Roman" w:hAnsi="Times New Roman"/>
          <w:iCs/>
          <w:spacing w:val="-2"/>
          <w:sz w:val="24"/>
          <w:szCs w:val="24"/>
        </w:rPr>
        <w:t xml:space="preserve">Муниципального бюджетного общеобразовательного учреждения Новосибирского района</w:t>
      </w:r>
      <w:r>
        <w:rPr>
          <w:rFonts w:ascii="Times New Roman" w:hAnsi="Times New Roman"/>
          <w:iCs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iCs/>
          <w:spacing w:val="-2"/>
          <w:sz w:val="24"/>
          <w:szCs w:val="24"/>
        </w:rPr>
        <w:t xml:space="preserve">Новосибирской области - Барышевской средней школы № 9 </w:t>
      </w:r>
      <w:r>
        <w:rPr>
          <w:rFonts w:ascii="Times New Roman" w:hAnsi="Times New Roman"/>
          <w:sz w:val="24"/>
          <w:szCs w:val="24"/>
        </w:rPr>
        <w:t xml:space="preserve">составлен </w:t>
      </w:r>
      <w:r>
        <w:rPr>
          <w:rFonts w:ascii="Times New Roman" w:hAnsi="Times New Roman"/>
          <w:sz w:val="24"/>
          <w:szCs w:val="24"/>
        </w:rPr>
        <w:t xml:space="preserve">Акт от 14.12</w:t>
      </w:r>
      <w:r>
        <w:rPr>
          <w:rFonts w:ascii="Times New Roman" w:hAnsi="Times New Roman"/>
          <w:sz w:val="24"/>
          <w:szCs w:val="24"/>
        </w:rPr>
        <w:t xml:space="preserve">.202</w:t>
      </w:r>
      <w:r>
        <w:rPr>
          <w:rFonts w:ascii="Times New Roman" w:hAnsi="Times New Roman"/>
          <w:sz w:val="24"/>
          <w:szCs w:val="24"/>
        </w:rPr>
        <w:t xml:space="preserve">3</w:t>
      </w:r>
      <w:r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 xml:space="preserve">1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iCs/>
          <w:spacing w:val="-2"/>
          <w:sz w:val="24"/>
          <w:szCs w:val="24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Выявлены нарушения и недостатки, среди которых:</w:t>
      </w:r>
      <w:r>
        <w:rPr>
          <w:rFonts w:ascii="Times New Roman" w:hAnsi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</w:t>
      </w:r>
      <w:r>
        <w:rPr>
          <w:rFonts w:ascii="Times New Roman" w:hAnsi="Times New Roman"/>
          <w:sz w:val="24"/>
          <w:szCs w:val="24"/>
        </w:rPr>
        <w:t xml:space="preserve"> В нарушение положений пункта 1 статьи 45</w:t>
      </w:r>
      <w:r>
        <w:rPr>
          <w:rFonts w:ascii="Times New Roman" w:hAnsi="Times New Roman"/>
          <w:sz w:val="24"/>
          <w:szCs w:val="24"/>
        </w:rPr>
        <w:t xml:space="preserve">0 Гражданского кодекса Российской Федерации, пункта 10 части 1, части 8 статьи 95 Федерального закона № 44-ФЗ допускалось расторжение контрактов по соглашению сторон или оформление дополнительных соглашений к контрактам позднее срока окончания их действия;</w:t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нарушение требований, предусмотренных пунктом 2 части 13.1 статьи 34 Федерального закона № 44-ФЗ, в соответствии с которыми в случае оформления документа о приемке без использования ЕИС,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срок оплаты должен составлять не более десяти рабочих дней с даты подписания документа о приемке, </w:t>
      </w:r>
      <w:r>
        <w:rPr>
          <w:rFonts w:ascii="Times New Roman" w:hAnsi="Times New Roman"/>
          <w:sz w:val="24"/>
          <w:szCs w:val="24"/>
        </w:rPr>
        <w:t xml:space="preserve">сроки оплаты, предусмотренные условиями отдельных контрактов, составил</w:t>
      </w:r>
      <w:r>
        <w:rPr>
          <w:rFonts w:ascii="Times New Roman" w:hAnsi="Times New Roman"/>
          <w:sz w:val="24"/>
          <w:szCs w:val="24"/>
        </w:rPr>
        <w:t xml:space="preserve">и более десяти рабочих дней с</w:t>
      </w:r>
      <w:r>
        <w:rPr>
          <w:rFonts w:ascii="Times New Roman" w:hAnsi="Times New Roman"/>
          <w:sz w:val="24"/>
          <w:szCs w:val="24"/>
        </w:rPr>
        <w:t xml:space="preserve"> даты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подписания документа о приемке</w:t>
      </w:r>
      <w:r>
        <w:rPr>
          <w:rFonts w:ascii="Times New Roman" w:hAnsi="Times New Roman"/>
          <w:sz w:val="24"/>
          <w:szCs w:val="24"/>
        </w:rPr>
        <w:t xml:space="preserve">;</w:t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В нарушение требований, предусмотренных пунктом 1 статьи 23 Федерального Закона № 44-ФЗ, в соответствии с которыми идентификационный код закупки (далее – ИКЗ) указывается в плане-графике, извещении об осуществлении закупки, приг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лашении принять участие в определении поставщика (подрядчика, исполнителя), осуществляемом закрытым способом, документации о закупке, в контракте, а также в иных документах, предусмотренных Федеральным Законом № 44-ФЗ, в отдельных контрактах не указан ИКЗ;</w:t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4.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нарушение требований, п</w:t>
      </w:r>
      <w:r>
        <w:rPr>
          <w:rFonts w:ascii="Times New Roman" w:hAnsi="Times New Roman"/>
          <w:sz w:val="24"/>
          <w:szCs w:val="24"/>
        </w:rPr>
        <w:t xml:space="preserve">редусмотренных частью 2 статьи 34 Федерального закона № 44- ФЗ, согласно которым при заключении контракта указывается, что цена контракта является твердой и определяется на весь срок исполнения контракта, в отдельных контрактах данные требования не учтены;</w:t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 нарушение требований, предусмотренных частью 1 статьи 94 Федерального закона</w:t>
      </w: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 № 44-ФЗ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Заказчиком не соблюдались сроки оплаты, предусмотренные условиями контрактов;</w:t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6.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 нарушение требований, предусмотренных </w:t>
      </w:r>
      <w:r>
        <w:rPr>
          <w:rFonts w:ascii="Times New Roman" w:hAnsi="Times New Roman"/>
          <w:sz w:val="24"/>
          <w:szCs w:val="24"/>
        </w:rPr>
        <w:t xml:space="preserve">частью 3 статьи 103 Федерального закона №44-ФЗ Заказчиком не соблюдены сроки направления в реестр контрактов ЕИС информации:</w:t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-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 приемке поставленного товара, выполненной работы (ее результатов), оказанной услуги, отдельных этапов исполнения контракта с приложением документа о приемке;</w:t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ind w:right="-1" w:firstLine="709"/>
        <w:jc w:val="both"/>
        <w:spacing w:line="240" w:lineRule="auto"/>
        <w:widowControl w:val="off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об оплате заказчиком поставленного товара, выполненной работы (ее результатов), оказанной услуги.</w:t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spacing w:after="0" w:line="240" w:lineRule="auto"/>
        <w:widowControl w:val="off"/>
        <w:tabs>
          <w:tab w:val="left" w:pos="0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  <w:tab w:val="left" w:pos="851" w:leader="none"/>
          <w:tab w:val="left" w:pos="1134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Информация о результатах контрольного мероприятия направлена в</w:t>
      </w:r>
      <w:r>
        <w:rPr>
          <w:rFonts w:ascii="Times New Roman" w:hAnsi="Times New Roman"/>
          <w:sz w:val="24"/>
          <w:szCs w:val="24"/>
        </w:rPr>
        <w:t xml:space="preserve"> Совет депутатов Новосибирского района Новосибирской области, в</w:t>
      </w:r>
      <w:r>
        <w:rPr>
          <w:rFonts w:ascii="Times New Roman" w:hAnsi="Times New Roman"/>
          <w:sz w:val="24"/>
          <w:szCs w:val="24"/>
        </w:rPr>
        <w:t xml:space="preserve"> администрацию Новосибирского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, в прокуратуру Новосибирского района Новосибирской области. </w:t>
      </w:r>
      <w:r>
        <w:rPr>
          <w:rFonts w:ascii="Times New Roman" w:hAnsi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  <w:tab w:val="left" w:pos="851" w:leader="none"/>
          <w:tab w:val="left" w:pos="1134" w:leader="none"/>
        </w:tabs>
        <w:rPr>
          <w:rFonts w:ascii="Times New Roman" w:hAnsi="Times New Roman"/>
          <w:sz w:val="24"/>
          <w:szCs w:val="24"/>
        </w:rPr>
      </w:pPr>
      <w:r/>
      <w:bookmarkStart w:id="0" w:name="_GoBack"/>
      <w:r/>
      <w:bookmarkEnd w:id="0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</w:p>
    <w:sectPr>
      <w:footerReference w:type="default" r:id="rId8"/>
      <w:footnotePr/>
      <w:endnotePr/>
      <w:type w:val="nextPage"/>
      <w:pgSz w:w="12240" w:h="15840" w:orient="portrait"/>
      <w:pgMar w:top="426" w:right="758" w:bottom="709" w:left="1418" w:header="708" w:footer="708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3020203020204"/>
  </w:font>
  <w:font w:name="XO Thames">
    <w:panose1 w:val="02000603000000000000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>
      <w:t xml:space="preserve">2</w:t>
    </w:r>
    <w:r>
      <w:fldChar w:fldCharType="end"/>
    </w:r>
    <w:r/>
  </w:p>
  <w:p>
    <w:pPr>
      <w:pStyle w:val="713"/>
      <w:jc w:val="center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Times New Roman" w:cs="Times New Roman"/>
        <w:color w:val="000000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77"/>
    <w:link w:val="672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77"/>
    <w:link w:val="673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677"/>
    <w:link w:val="674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77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77"/>
    <w:link w:val="676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1"/>
    <w:next w:val="67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7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1"/>
    <w:next w:val="67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7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1"/>
    <w:next w:val="67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7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1"/>
    <w:next w:val="67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7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677"/>
    <w:link w:val="723"/>
    <w:uiPriority w:val="10"/>
    <w:rPr>
      <w:sz w:val="48"/>
      <w:szCs w:val="48"/>
    </w:rPr>
  </w:style>
  <w:style w:type="character" w:styleId="37">
    <w:name w:val="Subtitle Char"/>
    <w:basedOn w:val="677"/>
    <w:link w:val="719"/>
    <w:uiPriority w:val="11"/>
    <w:rPr>
      <w:sz w:val="24"/>
      <w:szCs w:val="24"/>
    </w:rPr>
  </w:style>
  <w:style w:type="paragraph" w:styleId="38">
    <w:name w:val="Quote"/>
    <w:basedOn w:val="671"/>
    <w:next w:val="67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1"/>
    <w:next w:val="67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7"/>
    <w:link w:val="694"/>
    <w:uiPriority w:val="99"/>
  </w:style>
  <w:style w:type="character" w:styleId="45">
    <w:name w:val="Footer Char"/>
    <w:basedOn w:val="677"/>
    <w:link w:val="713"/>
    <w:uiPriority w:val="99"/>
  </w:style>
  <w:style w:type="paragraph" w:styleId="46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13"/>
    <w:uiPriority w:val="99"/>
  </w:style>
  <w:style w:type="table" w:styleId="48">
    <w:name w:val="Table Grid"/>
    <w:basedOn w:val="67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67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7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7"/>
    <w:uiPriority w:val="99"/>
    <w:unhideWhenUsed/>
    <w:rPr>
      <w:vertAlign w:val="superscript"/>
    </w:rPr>
  </w:style>
  <w:style w:type="paragraph" w:styleId="178">
    <w:name w:val="endnote text"/>
    <w:basedOn w:val="67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7"/>
    <w:uiPriority w:val="99"/>
    <w:semiHidden/>
    <w:unhideWhenUsed/>
    <w:rPr>
      <w:vertAlign w:val="superscript"/>
    </w:rPr>
  </w:style>
  <w:style w:type="paragraph" w:styleId="190">
    <w:name w:val="TOC Heading"/>
    <w:uiPriority w:val="39"/>
    <w:unhideWhenUsed/>
  </w:style>
  <w:style w:type="paragraph" w:styleId="191">
    <w:name w:val="table of figures"/>
    <w:basedOn w:val="671"/>
    <w:next w:val="671"/>
    <w:uiPriority w:val="99"/>
    <w:unhideWhenUsed/>
    <w:pPr>
      <w:spacing w:after="0" w:afterAutospacing="0"/>
    </w:pPr>
  </w:style>
  <w:style w:type="paragraph" w:styleId="671" w:default="1">
    <w:name w:val="Normal"/>
    <w:link w:val="680"/>
    <w:qFormat/>
    <w:pPr>
      <w:spacing w:after="160" w:line="264" w:lineRule="auto"/>
    </w:pPr>
    <w:rPr>
      <w:sz w:val="22"/>
    </w:rPr>
  </w:style>
  <w:style w:type="paragraph" w:styleId="672">
    <w:name w:val="Heading 1"/>
    <w:next w:val="671"/>
    <w:link w:val="699"/>
    <w:uiPriority w:val="9"/>
    <w:qFormat/>
    <w:pPr>
      <w:jc w:val="both"/>
      <w:spacing w:before="120" w:after="120"/>
      <w:outlineLvl w:val="0"/>
    </w:pPr>
    <w:rPr>
      <w:rFonts w:ascii="XO Thames" w:hAnsi="XO Thames"/>
      <w:b/>
      <w:sz w:val="32"/>
    </w:rPr>
  </w:style>
  <w:style w:type="paragraph" w:styleId="673">
    <w:name w:val="Heading 2"/>
    <w:next w:val="671"/>
    <w:link w:val="726"/>
    <w:uiPriority w:val="9"/>
    <w:qFormat/>
    <w:pPr>
      <w:jc w:val="both"/>
      <w:spacing w:before="120" w:after="120"/>
      <w:outlineLvl w:val="1"/>
    </w:pPr>
    <w:rPr>
      <w:rFonts w:ascii="XO Thames" w:hAnsi="XO Thames"/>
      <w:b/>
      <w:sz w:val="28"/>
    </w:rPr>
  </w:style>
  <w:style w:type="paragraph" w:styleId="674">
    <w:name w:val="Heading 3"/>
    <w:next w:val="671"/>
    <w:link w:val="691"/>
    <w:uiPriority w:val="9"/>
    <w:qFormat/>
    <w:pPr>
      <w:jc w:val="both"/>
      <w:spacing w:before="120" w:after="120"/>
      <w:outlineLvl w:val="2"/>
    </w:pPr>
    <w:rPr>
      <w:rFonts w:ascii="XO Thames" w:hAnsi="XO Thames"/>
      <w:b/>
      <w:sz w:val="26"/>
    </w:rPr>
  </w:style>
  <w:style w:type="paragraph" w:styleId="675">
    <w:name w:val="Heading 4"/>
    <w:next w:val="671"/>
    <w:link w:val="725"/>
    <w:uiPriority w:val="9"/>
    <w:qFormat/>
    <w:pPr>
      <w:jc w:val="both"/>
      <w:spacing w:before="120" w:after="120"/>
      <w:outlineLvl w:val="3"/>
    </w:pPr>
    <w:rPr>
      <w:rFonts w:ascii="XO Thames" w:hAnsi="XO Thames"/>
      <w:b/>
      <w:sz w:val="24"/>
    </w:rPr>
  </w:style>
  <w:style w:type="paragraph" w:styleId="676">
    <w:name w:val="Heading 5"/>
    <w:next w:val="671"/>
    <w:link w:val="698"/>
    <w:uiPriority w:val="9"/>
    <w:qFormat/>
    <w:pPr>
      <w:jc w:val="both"/>
      <w:spacing w:before="120" w:after="120"/>
      <w:outlineLvl w:val="4"/>
    </w:pPr>
    <w:rPr>
      <w:rFonts w:ascii="XO Thames" w:hAnsi="XO Thames"/>
      <w:b/>
      <w:sz w:val="22"/>
    </w:rPr>
  </w:style>
  <w:style w:type="character" w:styleId="677" w:default="1">
    <w:name w:val="Default Paragraph Font"/>
    <w:uiPriority w:val="1"/>
    <w:unhideWhenUsed/>
  </w:style>
  <w:style w:type="table" w:styleId="67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9" w:default="1">
    <w:name w:val="No List"/>
    <w:uiPriority w:val="99"/>
    <w:semiHidden/>
    <w:unhideWhenUsed/>
  </w:style>
  <w:style w:type="character" w:styleId="680" w:customStyle="1">
    <w:name w:val="Обычный1"/>
    <w:rPr>
      <w:rFonts w:ascii="Calibri" w:hAnsi="Calibri"/>
      <w:sz w:val="22"/>
    </w:rPr>
  </w:style>
  <w:style w:type="paragraph" w:styleId="681">
    <w:name w:val="toc 2"/>
    <w:next w:val="671"/>
    <w:link w:val="682"/>
    <w:uiPriority w:val="39"/>
    <w:pPr>
      <w:ind w:left="200"/>
    </w:pPr>
    <w:rPr>
      <w:rFonts w:ascii="XO Thames" w:hAnsi="XO Thames"/>
      <w:sz w:val="28"/>
    </w:rPr>
  </w:style>
  <w:style w:type="character" w:styleId="682" w:customStyle="1">
    <w:name w:val="Оглавление 2 Знак"/>
    <w:link w:val="681"/>
    <w:rPr>
      <w:rFonts w:ascii="XO Thames" w:hAnsi="XO Thames"/>
      <w:sz w:val="28"/>
    </w:rPr>
  </w:style>
  <w:style w:type="paragraph" w:styleId="683">
    <w:name w:val="toc 4"/>
    <w:next w:val="671"/>
    <w:link w:val="684"/>
    <w:uiPriority w:val="39"/>
    <w:pPr>
      <w:ind w:left="600"/>
    </w:pPr>
    <w:rPr>
      <w:rFonts w:ascii="XO Thames" w:hAnsi="XO Thames"/>
      <w:sz w:val="28"/>
    </w:rPr>
  </w:style>
  <w:style w:type="character" w:styleId="684" w:customStyle="1">
    <w:name w:val="Оглавление 4 Знак"/>
    <w:link w:val="683"/>
    <w:rPr>
      <w:rFonts w:ascii="XO Thames" w:hAnsi="XO Thames"/>
      <w:sz w:val="28"/>
    </w:rPr>
  </w:style>
  <w:style w:type="paragraph" w:styleId="685">
    <w:name w:val="toc 6"/>
    <w:next w:val="671"/>
    <w:link w:val="686"/>
    <w:uiPriority w:val="39"/>
    <w:pPr>
      <w:ind w:left="1000"/>
    </w:pPr>
    <w:rPr>
      <w:rFonts w:ascii="XO Thames" w:hAnsi="XO Thames"/>
      <w:sz w:val="28"/>
    </w:rPr>
  </w:style>
  <w:style w:type="character" w:styleId="686" w:customStyle="1">
    <w:name w:val="Оглавление 6 Знак"/>
    <w:link w:val="685"/>
    <w:rPr>
      <w:rFonts w:ascii="XO Thames" w:hAnsi="XO Thames"/>
      <w:sz w:val="28"/>
    </w:rPr>
  </w:style>
  <w:style w:type="paragraph" w:styleId="687">
    <w:name w:val="toc 7"/>
    <w:next w:val="671"/>
    <w:link w:val="688"/>
    <w:uiPriority w:val="39"/>
    <w:pPr>
      <w:ind w:left="1200"/>
    </w:pPr>
    <w:rPr>
      <w:rFonts w:ascii="XO Thames" w:hAnsi="XO Thames"/>
      <w:sz w:val="28"/>
    </w:rPr>
  </w:style>
  <w:style w:type="character" w:styleId="688" w:customStyle="1">
    <w:name w:val="Оглавление 7 Знак"/>
    <w:link w:val="687"/>
    <w:rPr>
      <w:rFonts w:ascii="XO Thames" w:hAnsi="XO Thames"/>
      <w:sz w:val="28"/>
    </w:rPr>
  </w:style>
  <w:style w:type="paragraph" w:styleId="689">
    <w:name w:val="Balloon Text"/>
    <w:basedOn w:val="671"/>
    <w:link w:val="690"/>
    <w:pPr>
      <w:spacing w:after="0" w:line="240" w:lineRule="auto"/>
    </w:pPr>
    <w:rPr>
      <w:rFonts w:ascii="Segoe UI" w:hAnsi="Segoe UI"/>
      <w:sz w:val="18"/>
    </w:rPr>
  </w:style>
  <w:style w:type="character" w:styleId="690" w:customStyle="1">
    <w:name w:val="Текст выноски Знак"/>
    <w:basedOn w:val="680"/>
    <w:link w:val="689"/>
    <w:rPr>
      <w:rFonts w:ascii="Segoe UI" w:hAnsi="Segoe UI"/>
      <w:sz w:val="18"/>
    </w:rPr>
  </w:style>
  <w:style w:type="character" w:styleId="691" w:customStyle="1">
    <w:name w:val="Заголовок 3 Знак"/>
    <w:link w:val="674"/>
    <w:rPr>
      <w:rFonts w:ascii="XO Thames" w:hAnsi="XO Thames"/>
      <w:b/>
      <w:sz w:val="26"/>
    </w:rPr>
  </w:style>
  <w:style w:type="paragraph" w:styleId="692">
    <w:name w:val="List Paragraph"/>
    <w:basedOn w:val="671"/>
    <w:link w:val="693"/>
    <w:pPr>
      <w:contextualSpacing/>
      <w:ind w:left="720"/>
    </w:pPr>
  </w:style>
  <w:style w:type="character" w:styleId="693" w:customStyle="1">
    <w:name w:val="Абзац списка Знак"/>
    <w:basedOn w:val="680"/>
    <w:link w:val="692"/>
    <w:rPr>
      <w:rFonts w:ascii="Calibri" w:hAnsi="Calibri"/>
      <w:sz w:val="22"/>
    </w:rPr>
  </w:style>
  <w:style w:type="paragraph" w:styleId="694">
    <w:name w:val="Header"/>
    <w:basedOn w:val="671"/>
    <w:link w:val="695"/>
    <w:pPr>
      <w:tabs>
        <w:tab w:val="center" w:pos="4677" w:leader="none"/>
        <w:tab w:val="right" w:pos="9355" w:leader="none"/>
      </w:tabs>
    </w:pPr>
  </w:style>
  <w:style w:type="character" w:styleId="695" w:customStyle="1">
    <w:name w:val="Верхний колонтитул Знак"/>
    <w:basedOn w:val="680"/>
    <w:link w:val="694"/>
    <w:rPr>
      <w:rFonts w:ascii="Calibri" w:hAnsi="Calibri"/>
      <w:sz w:val="22"/>
    </w:rPr>
  </w:style>
  <w:style w:type="paragraph" w:styleId="696">
    <w:name w:val="toc 3"/>
    <w:next w:val="671"/>
    <w:link w:val="697"/>
    <w:uiPriority w:val="39"/>
    <w:pPr>
      <w:ind w:left="400"/>
    </w:pPr>
    <w:rPr>
      <w:rFonts w:ascii="XO Thames" w:hAnsi="XO Thames"/>
      <w:sz w:val="28"/>
    </w:rPr>
  </w:style>
  <w:style w:type="character" w:styleId="697" w:customStyle="1">
    <w:name w:val="Оглавление 3 Знак"/>
    <w:link w:val="696"/>
    <w:rPr>
      <w:rFonts w:ascii="XO Thames" w:hAnsi="XO Thames"/>
      <w:sz w:val="28"/>
    </w:rPr>
  </w:style>
  <w:style w:type="character" w:styleId="698" w:customStyle="1">
    <w:name w:val="Заголовок 5 Знак"/>
    <w:link w:val="676"/>
    <w:rPr>
      <w:rFonts w:ascii="XO Thames" w:hAnsi="XO Thames"/>
      <w:b/>
      <w:sz w:val="22"/>
    </w:rPr>
  </w:style>
  <w:style w:type="character" w:styleId="699" w:customStyle="1">
    <w:name w:val="Заголовок 1 Знак"/>
    <w:link w:val="672"/>
    <w:rPr>
      <w:rFonts w:ascii="XO Thames" w:hAnsi="XO Thames"/>
      <w:b/>
      <w:sz w:val="32"/>
    </w:rPr>
  </w:style>
  <w:style w:type="paragraph" w:styleId="700" w:customStyle="1">
    <w:name w:val="Гиперссылка1"/>
    <w:basedOn w:val="710"/>
    <w:link w:val="701"/>
    <w:rPr>
      <w:color w:val="0000ff"/>
      <w:u w:val="single"/>
    </w:rPr>
  </w:style>
  <w:style w:type="character" w:styleId="701">
    <w:name w:val="Hyperlink"/>
    <w:basedOn w:val="677"/>
    <w:link w:val="700"/>
    <w:rPr>
      <w:color w:val="0000ff"/>
      <w:u w:val="single"/>
    </w:rPr>
  </w:style>
  <w:style w:type="paragraph" w:styleId="702" w:customStyle="1">
    <w:name w:val="Footnote"/>
    <w:link w:val="703"/>
    <w:pPr>
      <w:ind w:firstLine="851"/>
      <w:jc w:val="both"/>
    </w:pPr>
    <w:rPr>
      <w:rFonts w:ascii="XO Thames" w:hAnsi="XO Thames"/>
      <w:sz w:val="22"/>
    </w:rPr>
  </w:style>
  <w:style w:type="character" w:styleId="703" w:customStyle="1">
    <w:name w:val="Footnote"/>
    <w:link w:val="702"/>
    <w:rPr>
      <w:rFonts w:ascii="XO Thames" w:hAnsi="XO Thames"/>
      <w:sz w:val="22"/>
    </w:rPr>
  </w:style>
  <w:style w:type="paragraph" w:styleId="704">
    <w:name w:val="toc 1"/>
    <w:next w:val="671"/>
    <w:link w:val="705"/>
    <w:uiPriority w:val="39"/>
    <w:rPr>
      <w:rFonts w:ascii="XO Thames" w:hAnsi="XO Thames"/>
      <w:b/>
      <w:sz w:val="28"/>
    </w:rPr>
  </w:style>
  <w:style w:type="character" w:styleId="705" w:customStyle="1">
    <w:name w:val="Оглавление 1 Знак"/>
    <w:link w:val="704"/>
    <w:rPr>
      <w:rFonts w:ascii="XO Thames" w:hAnsi="XO Thames"/>
      <w:b/>
      <w:sz w:val="28"/>
    </w:rPr>
  </w:style>
  <w:style w:type="paragraph" w:styleId="706" w:customStyle="1">
    <w:name w:val="Header and Footer"/>
    <w:link w:val="707"/>
    <w:pPr>
      <w:jc w:val="both"/>
    </w:pPr>
    <w:rPr>
      <w:rFonts w:ascii="XO Thames" w:hAnsi="XO Thames"/>
    </w:rPr>
  </w:style>
  <w:style w:type="character" w:styleId="707" w:customStyle="1">
    <w:name w:val="Header and Footer"/>
    <w:link w:val="706"/>
    <w:rPr>
      <w:rFonts w:ascii="XO Thames" w:hAnsi="XO Thames"/>
      <w:sz w:val="20"/>
    </w:rPr>
  </w:style>
  <w:style w:type="paragraph" w:styleId="708">
    <w:name w:val="toc 9"/>
    <w:next w:val="671"/>
    <w:link w:val="709"/>
    <w:uiPriority w:val="39"/>
    <w:pPr>
      <w:ind w:left="1600"/>
    </w:pPr>
    <w:rPr>
      <w:rFonts w:ascii="XO Thames" w:hAnsi="XO Thames"/>
      <w:sz w:val="28"/>
    </w:rPr>
  </w:style>
  <w:style w:type="character" w:styleId="709" w:customStyle="1">
    <w:name w:val="Оглавление 9 Знак"/>
    <w:link w:val="708"/>
    <w:rPr>
      <w:rFonts w:ascii="XO Thames" w:hAnsi="XO Thames"/>
      <w:sz w:val="28"/>
    </w:rPr>
  </w:style>
  <w:style w:type="paragraph" w:styleId="710" w:customStyle="1">
    <w:name w:val="Основной шрифт абзаца1"/>
  </w:style>
  <w:style w:type="paragraph" w:styleId="711">
    <w:name w:val="toc 8"/>
    <w:next w:val="671"/>
    <w:link w:val="712"/>
    <w:uiPriority w:val="39"/>
    <w:pPr>
      <w:ind w:left="1400"/>
    </w:pPr>
    <w:rPr>
      <w:rFonts w:ascii="XO Thames" w:hAnsi="XO Thames"/>
      <w:sz w:val="28"/>
    </w:rPr>
  </w:style>
  <w:style w:type="character" w:styleId="712" w:customStyle="1">
    <w:name w:val="Оглавление 8 Знак"/>
    <w:link w:val="711"/>
    <w:rPr>
      <w:rFonts w:ascii="XO Thames" w:hAnsi="XO Thames"/>
      <w:sz w:val="28"/>
    </w:rPr>
  </w:style>
  <w:style w:type="paragraph" w:styleId="713">
    <w:name w:val="Footer"/>
    <w:basedOn w:val="671"/>
    <w:link w:val="714"/>
    <w:pPr>
      <w:tabs>
        <w:tab w:val="center" w:pos="4677" w:leader="none"/>
        <w:tab w:val="right" w:pos="9355" w:leader="none"/>
      </w:tabs>
    </w:pPr>
  </w:style>
  <w:style w:type="character" w:styleId="714" w:customStyle="1">
    <w:name w:val="Нижний колонтитул Знак"/>
    <w:basedOn w:val="680"/>
    <w:link w:val="713"/>
    <w:rPr>
      <w:rFonts w:ascii="Calibri" w:hAnsi="Calibri"/>
      <w:sz w:val="22"/>
    </w:rPr>
  </w:style>
  <w:style w:type="paragraph" w:styleId="715" w:customStyle="1">
    <w:name w:val="Основной текст 31"/>
    <w:basedOn w:val="671"/>
    <w:link w:val="716"/>
    <w:pPr>
      <w:spacing w:after="120" w:line="240" w:lineRule="auto"/>
    </w:pPr>
    <w:rPr>
      <w:rFonts w:ascii="Times New Roman" w:hAnsi="Times New Roman"/>
      <w:sz w:val="16"/>
    </w:rPr>
  </w:style>
  <w:style w:type="character" w:styleId="716" w:customStyle="1">
    <w:name w:val="Основной текст 31"/>
    <w:basedOn w:val="680"/>
    <w:link w:val="715"/>
    <w:rPr>
      <w:rFonts w:ascii="Times New Roman" w:hAnsi="Times New Roman"/>
      <w:sz w:val="16"/>
    </w:rPr>
  </w:style>
  <w:style w:type="paragraph" w:styleId="717">
    <w:name w:val="toc 5"/>
    <w:next w:val="671"/>
    <w:link w:val="718"/>
    <w:uiPriority w:val="39"/>
    <w:pPr>
      <w:ind w:left="800"/>
    </w:pPr>
    <w:rPr>
      <w:rFonts w:ascii="XO Thames" w:hAnsi="XO Thames"/>
      <w:sz w:val="28"/>
    </w:rPr>
  </w:style>
  <w:style w:type="character" w:styleId="718" w:customStyle="1">
    <w:name w:val="Оглавление 5 Знак"/>
    <w:link w:val="717"/>
    <w:rPr>
      <w:rFonts w:ascii="XO Thames" w:hAnsi="XO Thames"/>
      <w:sz w:val="28"/>
    </w:rPr>
  </w:style>
  <w:style w:type="paragraph" w:styleId="719">
    <w:name w:val="Subtitle"/>
    <w:next w:val="671"/>
    <w:link w:val="720"/>
    <w:uiPriority w:val="11"/>
    <w:qFormat/>
    <w:pPr>
      <w:jc w:val="both"/>
    </w:pPr>
    <w:rPr>
      <w:rFonts w:ascii="XO Thames" w:hAnsi="XO Thames"/>
      <w:i/>
      <w:sz w:val="24"/>
    </w:rPr>
  </w:style>
  <w:style w:type="character" w:styleId="720" w:customStyle="1">
    <w:name w:val="Подзаголовок Знак"/>
    <w:link w:val="719"/>
    <w:rPr>
      <w:rFonts w:ascii="XO Thames" w:hAnsi="XO Thames"/>
      <w:i/>
      <w:sz w:val="24"/>
    </w:rPr>
  </w:style>
  <w:style w:type="paragraph" w:styleId="721" w:customStyle="1">
    <w:name w:val="ConsPlusNormal"/>
    <w:link w:val="722"/>
    <w:pPr>
      <w:ind w:firstLine="720"/>
      <w:widowControl w:val="off"/>
    </w:pPr>
    <w:rPr>
      <w:rFonts w:ascii="Arial" w:hAnsi="Arial"/>
    </w:rPr>
  </w:style>
  <w:style w:type="character" w:styleId="722" w:customStyle="1">
    <w:name w:val="ConsPlusNormal"/>
    <w:link w:val="721"/>
    <w:rPr>
      <w:rFonts w:ascii="Arial" w:hAnsi="Arial"/>
      <w:sz w:val="20"/>
    </w:rPr>
  </w:style>
  <w:style w:type="paragraph" w:styleId="723">
    <w:name w:val="Title"/>
    <w:next w:val="671"/>
    <w:link w:val="724"/>
    <w:uiPriority w:val="10"/>
    <w:qFormat/>
    <w:pPr>
      <w:jc w:val="center"/>
      <w:spacing w:before="567" w:after="567"/>
    </w:pPr>
    <w:rPr>
      <w:rFonts w:ascii="XO Thames" w:hAnsi="XO Thames"/>
      <w:b/>
      <w:caps/>
      <w:sz w:val="40"/>
    </w:rPr>
  </w:style>
  <w:style w:type="character" w:styleId="724" w:customStyle="1">
    <w:name w:val="Название Знак"/>
    <w:link w:val="723"/>
    <w:rPr>
      <w:rFonts w:ascii="XO Thames" w:hAnsi="XO Thames"/>
      <w:b/>
      <w:caps/>
      <w:sz w:val="40"/>
    </w:rPr>
  </w:style>
  <w:style w:type="character" w:styleId="725" w:customStyle="1">
    <w:name w:val="Заголовок 4 Знак"/>
    <w:link w:val="675"/>
    <w:rPr>
      <w:rFonts w:ascii="XO Thames" w:hAnsi="XO Thames"/>
      <w:b/>
      <w:sz w:val="24"/>
    </w:rPr>
  </w:style>
  <w:style w:type="character" w:styleId="726" w:customStyle="1">
    <w:name w:val="Заголовок 2 Знак"/>
    <w:link w:val="673"/>
    <w:rPr>
      <w:rFonts w:ascii="XO Thames" w:hAnsi="XO Thames"/>
      <w:b/>
      <w:sz w:val="2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2A6543-0805-4242-B378-E8B9967CA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revision>10</cp:revision>
  <dcterms:created xsi:type="dcterms:W3CDTF">2023-10-30T03:13:00Z</dcterms:created>
  <dcterms:modified xsi:type="dcterms:W3CDTF">2024-02-05T06:25:52Z</dcterms:modified>
</cp:coreProperties>
</file>